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5F36" w14:textId="3B135859" w:rsidR="002E4B21" w:rsidRPr="005F0EDB" w:rsidRDefault="002E4B21" w:rsidP="002E4B2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5F0EDB">
        <w:rPr>
          <w:rFonts w:ascii="Times New Roman" w:hAnsi="Times New Roman" w:cs="Times New Roman"/>
          <w:b/>
          <w:bCs/>
          <w:sz w:val="28"/>
        </w:rPr>
        <w:t xml:space="preserve">Сопоставление данных </w:t>
      </w:r>
      <w:proofErr w:type="spellStart"/>
      <w:r w:rsidRPr="005F0EDB">
        <w:rPr>
          <w:rFonts w:ascii="Times New Roman" w:hAnsi="Times New Roman" w:cs="Times New Roman"/>
          <w:b/>
          <w:bCs/>
          <w:sz w:val="28"/>
        </w:rPr>
        <w:t>Landsat</w:t>
      </w:r>
      <w:proofErr w:type="spellEnd"/>
      <w:r w:rsidRPr="005F0EDB">
        <w:rPr>
          <w:rFonts w:ascii="Times New Roman" w:hAnsi="Times New Roman" w:cs="Times New Roman"/>
          <w:b/>
          <w:bCs/>
          <w:sz w:val="28"/>
        </w:rPr>
        <w:t xml:space="preserve"> и спутниковой альтиметрии для установления связи площади и уровня Каспийского моря</w:t>
      </w:r>
    </w:p>
    <w:p w14:paraId="67673D15" w14:textId="215CBBA6" w:rsidR="002E4B21" w:rsidRPr="00677EB7" w:rsidRDefault="002E4B21" w:rsidP="002E4B2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677EB7">
        <w:rPr>
          <w:rFonts w:ascii="Times New Roman" w:hAnsi="Times New Roman" w:cs="Times New Roman"/>
          <w:b/>
          <w:szCs w:val="22"/>
          <w:vertAlign w:val="superscript"/>
        </w:rPr>
        <w:t>1,</w:t>
      </w:r>
      <w:r w:rsidRPr="00677EB7">
        <w:rPr>
          <w:rFonts w:ascii="Times New Roman" w:hAnsi="Times New Roman" w:cs="Times New Roman"/>
          <w:b/>
          <w:bCs/>
          <w:szCs w:val="22"/>
          <w:vertAlign w:val="superscript"/>
        </w:rPr>
        <w:t>2,3</w:t>
      </w:r>
      <w:r w:rsidRPr="00677EB7">
        <w:rPr>
          <w:rFonts w:ascii="Times New Roman" w:hAnsi="Times New Roman" w:cs="Times New Roman"/>
          <w:b/>
          <w:bCs/>
          <w:szCs w:val="22"/>
        </w:rPr>
        <w:t xml:space="preserve">А.В. Бочаров, </w:t>
      </w:r>
      <w:r>
        <w:rPr>
          <w:rFonts w:ascii="Times New Roman" w:hAnsi="Times New Roman" w:cs="Times New Roman"/>
          <w:b/>
          <w:bCs/>
          <w:szCs w:val="22"/>
          <w:vertAlign w:val="superscript"/>
        </w:rPr>
        <w:t>2</w:t>
      </w:r>
      <w:r w:rsidRPr="00677EB7">
        <w:rPr>
          <w:rFonts w:ascii="Times New Roman" w:hAnsi="Times New Roman" w:cs="Times New Roman"/>
          <w:b/>
          <w:bCs/>
          <w:szCs w:val="22"/>
          <w:vertAlign w:val="superscript"/>
        </w:rPr>
        <w:t>,</w:t>
      </w:r>
      <w:r>
        <w:rPr>
          <w:rFonts w:ascii="Times New Roman" w:hAnsi="Times New Roman" w:cs="Times New Roman"/>
          <w:b/>
          <w:bCs/>
          <w:szCs w:val="22"/>
          <w:vertAlign w:val="superscript"/>
        </w:rPr>
        <w:t>3</w:t>
      </w:r>
      <w:r w:rsidRPr="00677EB7">
        <w:rPr>
          <w:rFonts w:ascii="Times New Roman" w:hAnsi="Times New Roman" w:cs="Times New Roman"/>
          <w:b/>
          <w:bCs/>
          <w:szCs w:val="22"/>
          <w:vertAlign w:val="superscript"/>
        </w:rPr>
        <w:t>,</w:t>
      </w:r>
      <w:r>
        <w:rPr>
          <w:rFonts w:ascii="Times New Roman" w:hAnsi="Times New Roman" w:cs="Times New Roman"/>
          <w:b/>
          <w:bCs/>
          <w:szCs w:val="22"/>
          <w:vertAlign w:val="superscript"/>
        </w:rPr>
        <w:t>4</w:t>
      </w:r>
      <w:r w:rsidRPr="00677EB7">
        <w:rPr>
          <w:rFonts w:ascii="Times New Roman" w:hAnsi="Times New Roman" w:cs="Times New Roman"/>
          <w:b/>
          <w:bCs/>
          <w:szCs w:val="22"/>
        </w:rPr>
        <w:t xml:space="preserve">А.Г. Костяной, </w:t>
      </w:r>
      <w:r>
        <w:rPr>
          <w:rFonts w:ascii="Times New Roman" w:hAnsi="Times New Roman" w:cs="Times New Roman"/>
          <w:b/>
          <w:bCs/>
          <w:szCs w:val="22"/>
          <w:vertAlign w:val="superscript"/>
        </w:rPr>
        <w:t>3</w:t>
      </w:r>
      <w:r w:rsidRPr="00677EB7">
        <w:rPr>
          <w:rFonts w:ascii="Times New Roman" w:hAnsi="Times New Roman" w:cs="Times New Roman"/>
          <w:b/>
          <w:bCs/>
          <w:szCs w:val="22"/>
          <w:vertAlign w:val="superscript"/>
        </w:rPr>
        <w:t>,</w:t>
      </w:r>
      <w:r>
        <w:rPr>
          <w:rFonts w:ascii="Times New Roman" w:hAnsi="Times New Roman" w:cs="Times New Roman"/>
          <w:b/>
          <w:bCs/>
          <w:szCs w:val="22"/>
          <w:vertAlign w:val="superscript"/>
        </w:rPr>
        <w:t>5</w:t>
      </w:r>
      <w:r w:rsidRPr="00677EB7">
        <w:rPr>
          <w:rFonts w:ascii="Times New Roman" w:hAnsi="Times New Roman" w:cs="Times New Roman"/>
          <w:b/>
          <w:bCs/>
          <w:szCs w:val="22"/>
          <w:vertAlign w:val="superscript"/>
        </w:rPr>
        <w:t>,</w:t>
      </w:r>
      <w:r>
        <w:rPr>
          <w:rFonts w:ascii="Times New Roman" w:hAnsi="Times New Roman" w:cs="Times New Roman"/>
          <w:b/>
          <w:bCs/>
          <w:szCs w:val="22"/>
          <w:vertAlign w:val="superscript"/>
        </w:rPr>
        <w:t>6</w:t>
      </w:r>
      <w:r w:rsidRPr="00677EB7">
        <w:rPr>
          <w:rFonts w:ascii="Times New Roman" w:hAnsi="Times New Roman" w:cs="Times New Roman"/>
          <w:b/>
          <w:bCs/>
          <w:szCs w:val="22"/>
        </w:rPr>
        <w:t>С.А. Лебедев</w:t>
      </w:r>
      <w:r>
        <w:rPr>
          <w:rFonts w:ascii="Times New Roman" w:hAnsi="Times New Roman" w:cs="Times New Roman"/>
          <w:b/>
          <w:bCs/>
          <w:szCs w:val="22"/>
        </w:rPr>
        <w:t xml:space="preserve">, </w:t>
      </w:r>
      <w:r w:rsidRPr="002E4B21">
        <w:rPr>
          <w:rFonts w:ascii="Times New Roman" w:hAnsi="Times New Roman" w:cs="Times New Roman"/>
          <w:b/>
          <w:bCs/>
          <w:szCs w:val="22"/>
          <w:vertAlign w:val="superscript"/>
        </w:rPr>
        <w:t>7</w:t>
      </w:r>
      <w:r>
        <w:rPr>
          <w:rFonts w:ascii="Times New Roman" w:hAnsi="Times New Roman" w:cs="Times New Roman"/>
          <w:b/>
          <w:bCs/>
          <w:szCs w:val="22"/>
        </w:rPr>
        <w:t>С.И. Биденко</w:t>
      </w:r>
    </w:p>
    <w:p w14:paraId="7E9F3C2C" w14:textId="77777777" w:rsidR="002E4B21" w:rsidRDefault="002E4B21" w:rsidP="002E4B21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  <w:vertAlign w:val="superscript"/>
        </w:rPr>
      </w:pPr>
    </w:p>
    <w:p w14:paraId="3DD45341" w14:textId="03A902F3" w:rsidR="002E4B21" w:rsidRPr="001F533F" w:rsidRDefault="002E4B21" w:rsidP="002E4B21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</w:rPr>
      </w:pPr>
      <w:r>
        <w:rPr>
          <w:rFonts w:ascii="Times New Roman" w:hAnsi="Times New Roman" w:cs="Times New Roman"/>
          <w:bCs/>
          <w:i/>
          <w:szCs w:val="22"/>
          <w:vertAlign w:val="superscript"/>
        </w:rPr>
        <w:t>1</w:t>
      </w:r>
      <w:r w:rsidRPr="00677EB7">
        <w:rPr>
          <w:rFonts w:ascii="Times New Roman" w:hAnsi="Times New Roman" w:cs="Times New Roman"/>
          <w:bCs/>
          <w:i/>
          <w:szCs w:val="22"/>
        </w:rPr>
        <w:t>Тверской государственный университет, Россия, г. Тверь</w:t>
      </w:r>
      <w:r w:rsidR="001F533F">
        <w:rPr>
          <w:rFonts w:ascii="Times New Roman" w:hAnsi="Times New Roman" w:cs="Times New Roman"/>
          <w:bCs/>
          <w:i/>
          <w:szCs w:val="22"/>
        </w:rPr>
        <w:t xml:space="preserve">, </w:t>
      </w:r>
      <w:hyperlink r:id="rId5" w:history="1">
        <w:r w:rsidR="001F533F" w:rsidRPr="0064797F">
          <w:rPr>
            <w:rStyle w:val="af"/>
            <w:rFonts w:ascii="Times New Roman" w:hAnsi="Times New Roman" w:cs="Times New Roman"/>
            <w:bCs/>
            <w:i/>
            <w:szCs w:val="22"/>
            <w:lang w:val="en-US"/>
          </w:rPr>
          <w:t>bochalex</w:t>
        </w:r>
        <w:r w:rsidR="001F533F" w:rsidRPr="0064797F">
          <w:rPr>
            <w:rStyle w:val="af"/>
            <w:rFonts w:ascii="Times New Roman" w:hAnsi="Times New Roman" w:cs="Times New Roman"/>
            <w:bCs/>
            <w:i/>
            <w:szCs w:val="22"/>
          </w:rPr>
          <w:t>@</w:t>
        </w:r>
        <w:r w:rsidR="001F533F" w:rsidRPr="0064797F">
          <w:rPr>
            <w:rStyle w:val="af"/>
            <w:rFonts w:ascii="Times New Roman" w:hAnsi="Times New Roman" w:cs="Times New Roman"/>
            <w:bCs/>
            <w:i/>
            <w:szCs w:val="22"/>
            <w:lang w:val="en-US"/>
          </w:rPr>
          <w:t>bk</w:t>
        </w:r>
        <w:r w:rsidR="001F533F" w:rsidRPr="0064797F">
          <w:rPr>
            <w:rStyle w:val="af"/>
            <w:rFonts w:ascii="Times New Roman" w:hAnsi="Times New Roman" w:cs="Times New Roman"/>
            <w:bCs/>
            <w:i/>
            <w:szCs w:val="22"/>
          </w:rPr>
          <w:t>.</w:t>
        </w:r>
        <w:proofErr w:type="spellStart"/>
        <w:r w:rsidR="001F533F" w:rsidRPr="0064797F">
          <w:rPr>
            <w:rStyle w:val="af"/>
            <w:rFonts w:ascii="Times New Roman" w:hAnsi="Times New Roman" w:cs="Times New Roman"/>
            <w:bCs/>
            <w:i/>
            <w:szCs w:val="22"/>
            <w:lang w:val="en-US"/>
          </w:rPr>
          <w:t>ru</w:t>
        </w:r>
        <w:proofErr w:type="spellEnd"/>
      </w:hyperlink>
    </w:p>
    <w:p w14:paraId="158AB46A" w14:textId="77777777" w:rsidR="002E4B21" w:rsidRPr="00677EB7" w:rsidRDefault="002E4B21" w:rsidP="002E4B21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</w:rPr>
      </w:pPr>
      <w:r>
        <w:rPr>
          <w:rFonts w:ascii="Times New Roman" w:hAnsi="Times New Roman" w:cs="Times New Roman"/>
          <w:bCs/>
          <w:i/>
          <w:szCs w:val="22"/>
          <w:vertAlign w:val="superscript"/>
        </w:rPr>
        <w:t>2</w:t>
      </w:r>
      <w:r w:rsidRPr="00677EB7">
        <w:rPr>
          <w:rFonts w:ascii="Times New Roman" w:hAnsi="Times New Roman" w:cs="Times New Roman"/>
          <w:bCs/>
          <w:i/>
          <w:szCs w:val="22"/>
        </w:rPr>
        <w:t>Институт океанологии им. П.П. Ширшова РАН, Россия, г. Москва</w:t>
      </w:r>
    </w:p>
    <w:p w14:paraId="2B33A7C2" w14:textId="562F92E3" w:rsidR="002E4B21" w:rsidRPr="00677EB7" w:rsidRDefault="002E4B21" w:rsidP="002E4B21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</w:rPr>
      </w:pPr>
      <w:r w:rsidRPr="00677EB7">
        <w:rPr>
          <w:rFonts w:ascii="Times New Roman" w:hAnsi="Times New Roman" w:cs="Times New Roman"/>
          <w:bCs/>
          <w:i/>
          <w:szCs w:val="22"/>
          <w:vertAlign w:val="superscript"/>
        </w:rPr>
        <w:t>3</w:t>
      </w:r>
      <w:r w:rsidRPr="002E4B21">
        <w:rPr>
          <w:rFonts w:ascii="Times New Roman" w:hAnsi="Times New Roman" w:cs="Times New Roman"/>
          <w:bCs/>
          <w:i/>
          <w:spacing w:val="-8"/>
          <w:szCs w:val="22"/>
        </w:rPr>
        <w:t xml:space="preserve"> </w:t>
      </w:r>
      <w:r w:rsidRPr="00677EB7">
        <w:rPr>
          <w:rFonts w:ascii="Times New Roman" w:hAnsi="Times New Roman" w:cs="Times New Roman"/>
          <w:bCs/>
          <w:i/>
          <w:spacing w:val="-8"/>
          <w:szCs w:val="22"/>
        </w:rPr>
        <w:t>Майкопский государственный технологический университет, Россия, г. Майкоп</w:t>
      </w:r>
    </w:p>
    <w:p w14:paraId="52104C9A" w14:textId="77B78328" w:rsidR="002E4B21" w:rsidRPr="00677EB7" w:rsidRDefault="002E4B21" w:rsidP="002E4B21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</w:rPr>
      </w:pPr>
      <w:r w:rsidRPr="00677EB7">
        <w:rPr>
          <w:rFonts w:ascii="Times New Roman" w:hAnsi="Times New Roman" w:cs="Times New Roman"/>
          <w:bCs/>
          <w:i/>
          <w:szCs w:val="22"/>
          <w:vertAlign w:val="superscript"/>
        </w:rPr>
        <w:t>4</w:t>
      </w:r>
      <w:r w:rsidRPr="00677EB7">
        <w:rPr>
          <w:rFonts w:ascii="Times New Roman" w:hAnsi="Times New Roman" w:cs="Times New Roman"/>
          <w:bCs/>
          <w:i/>
          <w:szCs w:val="22"/>
        </w:rPr>
        <w:t>Московский университет им. С.Ю. Витте, Россия, г. Москва</w:t>
      </w:r>
    </w:p>
    <w:p w14:paraId="565798B2" w14:textId="77777777" w:rsidR="002E4B21" w:rsidRPr="00677EB7" w:rsidRDefault="002E4B21" w:rsidP="002E4B21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</w:rPr>
      </w:pPr>
      <w:r w:rsidRPr="00677EB7">
        <w:rPr>
          <w:rFonts w:ascii="Times New Roman" w:hAnsi="Times New Roman" w:cs="Times New Roman"/>
          <w:bCs/>
          <w:i/>
          <w:szCs w:val="22"/>
          <w:vertAlign w:val="superscript"/>
        </w:rPr>
        <w:t>5</w:t>
      </w:r>
      <w:r w:rsidRPr="00677EB7">
        <w:rPr>
          <w:rFonts w:ascii="Times New Roman" w:hAnsi="Times New Roman" w:cs="Times New Roman"/>
          <w:bCs/>
          <w:i/>
          <w:szCs w:val="22"/>
        </w:rPr>
        <w:t>Геофизический центр РАН, Россия, г. Москва</w:t>
      </w:r>
    </w:p>
    <w:p w14:paraId="6BCD8EE7" w14:textId="62129D5A" w:rsidR="002E4B21" w:rsidRPr="00677EB7" w:rsidRDefault="002E4B21" w:rsidP="002E4B21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</w:rPr>
      </w:pPr>
      <w:r w:rsidRPr="00677EB7">
        <w:rPr>
          <w:rFonts w:ascii="Times New Roman" w:hAnsi="Times New Roman" w:cs="Times New Roman"/>
          <w:bCs/>
          <w:i/>
          <w:szCs w:val="22"/>
          <w:vertAlign w:val="superscript"/>
        </w:rPr>
        <w:t>6</w:t>
      </w:r>
      <w:r w:rsidRPr="002E4B21">
        <w:rPr>
          <w:rFonts w:ascii="Times New Roman" w:hAnsi="Times New Roman" w:cs="Times New Roman"/>
          <w:bCs/>
          <w:i/>
          <w:szCs w:val="22"/>
        </w:rPr>
        <w:t xml:space="preserve"> </w:t>
      </w:r>
      <w:r w:rsidRPr="00677EB7">
        <w:rPr>
          <w:rFonts w:ascii="Times New Roman" w:hAnsi="Times New Roman" w:cs="Times New Roman"/>
          <w:bCs/>
          <w:i/>
          <w:szCs w:val="22"/>
        </w:rPr>
        <w:t>Национальный исследовательский университет «Московский институт электронной техники», Россия, г. Москва</w:t>
      </w:r>
    </w:p>
    <w:p w14:paraId="76854CE0" w14:textId="54510990" w:rsidR="002E4B21" w:rsidRPr="001F533F" w:rsidRDefault="002E4B21" w:rsidP="002E4B21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</w:rPr>
      </w:pPr>
      <w:r w:rsidRPr="00677EB7">
        <w:rPr>
          <w:rFonts w:ascii="Times New Roman" w:hAnsi="Times New Roman" w:cs="Times New Roman"/>
          <w:bCs/>
          <w:i/>
          <w:szCs w:val="22"/>
          <w:vertAlign w:val="superscript"/>
        </w:rPr>
        <w:t>7</w:t>
      </w:r>
      <w:r w:rsidRPr="002E4B21">
        <w:t xml:space="preserve"> </w:t>
      </w:r>
      <w:r w:rsidRPr="002E4B21">
        <w:rPr>
          <w:rFonts w:ascii="Times New Roman" w:hAnsi="Times New Roman" w:cs="Times New Roman"/>
          <w:bCs/>
          <w:i/>
          <w:szCs w:val="22"/>
        </w:rPr>
        <w:t>АО НПО Импульс</w:t>
      </w:r>
    </w:p>
    <w:p w14:paraId="723F2BFD" w14:textId="77777777" w:rsidR="00C8590E" w:rsidRPr="001F533F" w:rsidRDefault="00C8590E" w:rsidP="002E4B21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</w:rPr>
      </w:pPr>
    </w:p>
    <w:p w14:paraId="002094D9" w14:textId="7103423C" w:rsidR="00C8590E" w:rsidRPr="007E1CE6" w:rsidRDefault="00C8590E" w:rsidP="00C8590E">
      <w:pPr>
        <w:spacing w:after="0" w:line="240" w:lineRule="auto"/>
        <w:rPr>
          <w:rFonts w:ascii="Times New Roman" w:hAnsi="Times New Roman" w:cs="Times New Roman"/>
          <w:bCs/>
          <w:i/>
          <w:szCs w:val="22"/>
        </w:rPr>
      </w:pPr>
      <w:r w:rsidRPr="007E1CE6">
        <w:rPr>
          <w:rFonts w:ascii="Times New Roman" w:hAnsi="Times New Roman" w:cs="Times New Roman"/>
          <w:bCs/>
          <w:i/>
          <w:szCs w:val="22"/>
        </w:rPr>
        <w:t>Ключевые слова:</w:t>
      </w:r>
      <w:r w:rsidRPr="00C8590E">
        <w:rPr>
          <w:rFonts w:ascii="Times New Roman" w:hAnsi="Times New Roman" w:cs="Times New Roman"/>
          <w:bCs/>
          <w:i/>
          <w:szCs w:val="22"/>
        </w:rPr>
        <w:t xml:space="preserve"> </w:t>
      </w:r>
      <w:r w:rsidR="00EE4D10">
        <w:rPr>
          <w:rFonts w:ascii="Times New Roman" w:hAnsi="Times New Roman" w:cs="Times New Roman"/>
        </w:rPr>
        <w:t xml:space="preserve">Каспийское море, </w:t>
      </w:r>
      <w:r w:rsidRPr="00C8590E">
        <w:rPr>
          <w:rFonts w:ascii="Times New Roman" w:hAnsi="Times New Roman" w:cs="Times New Roman"/>
          <w:bCs/>
          <w:iCs/>
          <w:szCs w:val="22"/>
        </w:rPr>
        <w:t>площадь</w:t>
      </w:r>
      <w:r>
        <w:rPr>
          <w:rFonts w:ascii="Times New Roman" w:hAnsi="Times New Roman" w:cs="Times New Roman"/>
          <w:bCs/>
          <w:iCs/>
          <w:szCs w:val="22"/>
        </w:rPr>
        <w:t xml:space="preserve"> </w:t>
      </w:r>
      <w:r w:rsidRPr="00F61AB5">
        <w:rPr>
          <w:rFonts w:ascii="Times New Roman" w:hAnsi="Times New Roman" w:cs="Times New Roman"/>
        </w:rPr>
        <w:t>водного зеркала</w:t>
      </w:r>
      <w:r>
        <w:rPr>
          <w:rFonts w:ascii="Times New Roman" w:hAnsi="Times New Roman" w:cs="Times New Roman"/>
          <w:bCs/>
          <w:i/>
          <w:szCs w:val="22"/>
        </w:rPr>
        <w:t xml:space="preserve">, </w:t>
      </w:r>
      <w:r w:rsidRPr="00C8590E">
        <w:rPr>
          <w:rFonts w:ascii="Times New Roman" w:hAnsi="Times New Roman" w:cs="Times New Roman"/>
          <w:bCs/>
          <w:iCs/>
          <w:szCs w:val="22"/>
        </w:rPr>
        <w:t>уровень моря</w:t>
      </w:r>
      <w:r>
        <w:rPr>
          <w:rFonts w:ascii="Times New Roman" w:hAnsi="Times New Roman" w:cs="Times New Roman"/>
          <w:bCs/>
          <w:i/>
          <w:szCs w:val="22"/>
        </w:rPr>
        <w:t xml:space="preserve">, </w:t>
      </w:r>
      <w:r>
        <w:rPr>
          <w:rFonts w:ascii="Times New Roman" w:hAnsi="Times New Roman" w:cs="Times New Roman"/>
          <w:lang w:val="en-US"/>
        </w:rPr>
        <w:t>Landsat</w:t>
      </w:r>
    </w:p>
    <w:p w14:paraId="7789E4EF" w14:textId="77777777" w:rsidR="00C8590E" w:rsidRPr="00C8590E" w:rsidRDefault="00C8590E" w:rsidP="002E4B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842FC4" w14:textId="2F230C69" w:rsidR="00F61AB5" w:rsidRDefault="00F61AB5" w:rsidP="0096442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61AB5">
        <w:rPr>
          <w:rFonts w:ascii="Times New Roman" w:hAnsi="Times New Roman" w:cs="Times New Roman"/>
        </w:rPr>
        <w:t xml:space="preserve">Для научно обоснованного прогноза возможных изменений уровня Каспийского моря требуется точный расчет водного баланса. </w:t>
      </w:r>
      <w:r w:rsidR="00C03C28" w:rsidRPr="00C03C28">
        <w:rPr>
          <w:rFonts w:ascii="Times New Roman" w:hAnsi="Times New Roman" w:cs="Times New Roman"/>
        </w:rPr>
        <w:t>Одним из его важнейших компонентов является испарение</w:t>
      </w:r>
      <w:r w:rsidRPr="00F61AB5">
        <w:rPr>
          <w:rFonts w:ascii="Times New Roman" w:hAnsi="Times New Roman" w:cs="Times New Roman"/>
        </w:rPr>
        <w:t>, для оценки которого требуется знать площадь водного зеркала.</w:t>
      </w:r>
      <w:r>
        <w:rPr>
          <w:rFonts w:ascii="Times New Roman" w:hAnsi="Times New Roman" w:cs="Times New Roman"/>
        </w:rPr>
        <w:t xml:space="preserve"> </w:t>
      </w:r>
      <w:r w:rsidRPr="00F61AB5">
        <w:rPr>
          <w:rFonts w:ascii="Times New Roman" w:hAnsi="Times New Roman" w:cs="Times New Roman"/>
        </w:rPr>
        <w:t xml:space="preserve">Для определения площади Каспийского моря при расчете водного баланса сначала использовались данные Д.М. </w:t>
      </w:r>
      <w:proofErr w:type="spellStart"/>
      <w:r w:rsidRPr="00F61AB5">
        <w:rPr>
          <w:rFonts w:ascii="Times New Roman" w:hAnsi="Times New Roman" w:cs="Times New Roman"/>
        </w:rPr>
        <w:t>Кудрицкого</w:t>
      </w:r>
      <w:proofErr w:type="spellEnd"/>
      <w:r w:rsidRPr="00F61AB5">
        <w:rPr>
          <w:rFonts w:ascii="Times New Roman" w:hAnsi="Times New Roman" w:cs="Times New Roman"/>
        </w:rPr>
        <w:t xml:space="preserve"> </w:t>
      </w:r>
      <w:r w:rsidR="009C4A58" w:rsidRPr="009C4A58">
        <w:rPr>
          <w:rFonts w:ascii="Times New Roman" w:hAnsi="Times New Roman" w:cs="Times New Roman"/>
        </w:rPr>
        <w:t>[1]</w:t>
      </w:r>
      <w:r w:rsidRPr="00F61AB5">
        <w:rPr>
          <w:rFonts w:ascii="Times New Roman" w:hAnsi="Times New Roman" w:cs="Times New Roman"/>
        </w:rPr>
        <w:t xml:space="preserve">, впоследствии данные уточненные Б.А. </w:t>
      </w:r>
      <w:proofErr w:type="spellStart"/>
      <w:r w:rsidRPr="00F61AB5">
        <w:rPr>
          <w:rFonts w:ascii="Times New Roman" w:hAnsi="Times New Roman" w:cs="Times New Roman"/>
        </w:rPr>
        <w:t>Аполловым</w:t>
      </w:r>
      <w:proofErr w:type="spellEnd"/>
      <w:r w:rsidRPr="00F61AB5">
        <w:rPr>
          <w:rFonts w:ascii="Times New Roman" w:hAnsi="Times New Roman" w:cs="Times New Roman"/>
        </w:rPr>
        <w:t xml:space="preserve"> </w:t>
      </w:r>
      <w:r w:rsidR="009C4A58" w:rsidRPr="009C4A58">
        <w:rPr>
          <w:rFonts w:ascii="Times New Roman" w:hAnsi="Times New Roman" w:cs="Times New Roman"/>
        </w:rPr>
        <w:t>[2]</w:t>
      </w:r>
      <w:r w:rsidRPr="00F61AB5">
        <w:rPr>
          <w:rFonts w:ascii="Times New Roman" w:hAnsi="Times New Roman" w:cs="Times New Roman"/>
        </w:rPr>
        <w:t>, и Р.В. Николаевой</w:t>
      </w:r>
      <w:r w:rsidR="009C4A58" w:rsidRPr="009C4A58">
        <w:rPr>
          <w:rFonts w:ascii="Times New Roman" w:hAnsi="Times New Roman" w:cs="Times New Roman"/>
        </w:rPr>
        <w:t xml:space="preserve"> [3]</w:t>
      </w:r>
      <w:r w:rsidRPr="00F61AB5">
        <w:rPr>
          <w:rFonts w:ascii="Times New Roman" w:hAnsi="Times New Roman" w:cs="Times New Roman"/>
        </w:rPr>
        <w:t>. В пределах современных колебаний уровня моря, зависимость площади от уровня моря (гипсометрическая кривая) оказалась близка к линейной. З.К. Абузяровым было предложено линейное уравнение для расчета площади Каспийского моря по его уровню</w:t>
      </w:r>
      <w:r w:rsidR="009C4A58" w:rsidRPr="009C4A58">
        <w:rPr>
          <w:rFonts w:ascii="Times New Roman" w:hAnsi="Times New Roman" w:cs="Times New Roman"/>
        </w:rPr>
        <w:t xml:space="preserve"> [4</w:t>
      </w:r>
      <w:r w:rsidR="009C4A58" w:rsidRPr="0064797F">
        <w:rPr>
          <w:rFonts w:ascii="Times New Roman" w:hAnsi="Times New Roman" w:cs="Times New Roman"/>
        </w:rPr>
        <w:t>]</w:t>
      </w:r>
      <w:r w:rsidRPr="00F61AB5">
        <w:rPr>
          <w:rFonts w:ascii="Times New Roman" w:hAnsi="Times New Roman" w:cs="Times New Roman"/>
        </w:rPr>
        <w:t xml:space="preserve">. В видоизменённом виде оно содержится в научно-методическом пособии под ред. Е.С. Нестерова </w:t>
      </w:r>
      <w:r w:rsidR="009C4A58" w:rsidRPr="0064797F">
        <w:rPr>
          <w:rFonts w:ascii="Times New Roman" w:hAnsi="Times New Roman" w:cs="Times New Roman"/>
        </w:rPr>
        <w:t>[5]</w:t>
      </w:r>
      <w:r w:rsidRPr="00F61AB5">
        <w:rPr>
          <w:rFonts w:ascii="Times New Roman" w:hAnsi="Times New Roman" w:cs="Times New Roman"/>
        </w:rPr>
        <w:t xml:space="preserve">, </w:t>
      </w:r>
      <w:r w:rsidR="001537E3">
        <w:rPr>
          <w:rFonts w:ascii="Times New Roman" w:hAnsi="Times New Roman" w:cs="Times New Roman"/>
        </w:rPr>
        <w:t xml:space="preserve">в котором </w:t>
      </w:r>
      <w:r w:rsidR="001537E3" w:rsidRPr="001537E3">
        <w:rPr>
          <w:rFonts w:ascii="Times New Roman" w:hAnsi="Times New Roman" w:cs="Times New Roman"/>
        </w:rPr>
        <w:t>содержатся ошибки</w:t>
      </w:r>
      <w:r w:rsidRPr="00F61AB5">
        <w:rPr>
          <w:rFonts w:ascii="Times New Roman" w:hAnsi="Times New Roman" w:cs="Times New Roman"/>
        </w:rPr>
        <w:t>. Также имеются оценки зависимости площади и уровня Каспийского моря, полученные более современными методами. В ИВП РАН была использована цифровая модель рельефа DEM Caspy-30, которая была получена путем ручной оцифровки бумажных карт</w:t>
      </w:r>
      <w:r>
        <w:rPr>
          <w:rFonts w:ascii="Times New Roman" w:hAnsi="Times New Roman" w:cs="Times New Roman"/>
        </w:rPr>
        <w:t>.</w:t>
      </w:r>
    </w:p>
    <w:p w14:paraId="31055AE9" w14:textId="20A73673" w:rsidR="00F61AB5" w:rsidRDefault="00F61AB5" w:rsidP="0096442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61AB5">
        <w:rPr>
          <w:rFonts w:ascii="Times New Roman" w:hAnsi="Times New Roman" w:cs="Times New Roman"/>
        </w:rPr>
        <w:t>Целью данной работы является попытка оценки площади Каспийского моря по данным дистанционного зондирования Земли (ДЗЗ) и</w:t>
      </w:r>
      <w:r w:rsidR="00962500">
        <w:rPr>
          <w:rFonts w:ascii="Times New Roman" w:hAnsi="Times New Roman" w:cs="Times New Roman"/>
        </w:rPr>
        <w:t xml:space="preserve"> получение</w:t>
      </w:r>
      <w:r w:rsidRPr="00F61AB5">
        <w:rPr>
          <w:rFonts w:ascii="Times New Roman" w:hAnsi="Times New Roman" w:cs="Times New Roman"/>
        </w:rPr>
        <w:t xml:space="preserve"> </w:t>
      </w:r>
      <w:r w:rsidR="00D608AC">
        <w:rPr>
          <w:rFonts w:ascii="Times New Roman" w:hAnsi="Times New Roman" w:cs="Times New Roman"/>
        </w:rPr>
        <w:t>уравнений регрессии</w:t>
      </w:r>
      <w:r w:rsidR="00C03C28">
        <w:rPr>
          <w:rFonts w:ascii="Times New Roman" w:hAnsi="Times New Roman" w:cs="Times New Roman"/>
        </w:rPr>
        <w:t>,</w:t>
      </w:r>
      <w:r w:rsidRPr="00F61AB5">
        <w:rPr>
          <w:rFonts w:ascii="Times New Roman" w:hAnsi="Times New Roman" w:cs="Times New Roman"/>
        </w:rPr>
        <w:t xml:space="preserve"> показывающих, как площадь зеркала изменяется в зависимости от уровня воды</w:t>
      </w:r>
      <w:r w:rsidR="00D608AC">
        <w:rPr>
          <w:rFonts w:ascii="Times New Roman" w:hAnsi="Times New Roman" w:cs="Times New Roman"/>
        </w:rPr>
        <w:t xml:space="preserve"> </w:t>
      </w:r>
      <w:r w:rsidR="00D608AC" w:rsidRPr="00F61AB5">
        <w:rPr>
          <w:rFonts w:ascii="Times New Roman" w:hAnsi="Times New Roman" w:cs="Times New Roman"/>
        </w:rPr>
        <w:t>Каспийского моря и залива Кара-Богаз-Гол</w:t>
      </w:r>
      <w:r w:rsidRPr="00F61AB5">
        <w:rPr>
          <w:rFonts w:ascii="Times New Roman" w:hAnsi="Times New Roman" w:cs="Times New Roman"/>
        </w:rPr>
        <w:t xml:space="preserve">. </w:t>
      </w:r>
    </w:p>
    <w:p w14:paraId="07FC46F5" w14:textId="7E74929C" w:rsidR="000C3253" w:rsidRDefault="00F61AB5" w:rsidP="0096442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61AB5">
        <w:rPr>
          <w:rFonts w:ascii="Times New Roman" w:hAnsi="Times New Roman" w:cs="Times New Roman"/>
        </w:rPr>
        <w:t>Для оценки площади использовались данные сенсоров спутников Landsat-5, -7 и -8 высокого пространственного разрешения</w:t>
      </w:r>
      <w:r w:rsidR="00E519B0">
        <w:rPr>
          <w:rFonts w:ascii="Times New Roman" w:hAnsi="Times New Roman" w:cs="Times New Roman"/>
        </w:rPr>
        <w:t xml:space="preserve">. </w:t>
      </w:r>
      <w:r w:rsidRPr="00F61AB5">
        <w:rPr>
          <w:rFonts w:ascii="Times New Roman" w:hAnsi="Times New Roman" w:cs="Times New Roman"/>
        </w:rPr>
        <w:t>Для минимизации влияния облачности использовались мозаики снимков за три летних месяца каждого года. Границы Каспийского моря и залива Кара-Богаз-Гол выделялись с использованием методики, основанной на разделении пикселей ближнего ИК канала по пороговому значению</w:t>
      </w:r>
      <w:r w:rsidR="009C4A58" w:rsidRPr="009C4A58">
        <w:rPr>
          <w:rFonts w:ascii="Times New Roman" w:hAnsi="Times New Roman" w:cs="Times New Roman"/>
        </w:rPr>
        <w:t xml:space="preserve"> [6</w:t>
      </w:r>
      <w:r w:rsidR="009C4A58" w:rsidRPr="001537E3">
        <w:rPr>
          <w:rFonts w:ascii="Times New Roman" w:hAnsi="Times New Roman" w:cs="Times New Roman"/>
        </w:rPr>
        <w:t>]</w:t>
      </w:r>
      <w:r w:rsidR="000C3253" w:rsidRPr="000C3253">
        <w:rPr>
          <w:rFonts w:ascii="Times New Roman" w:hAnsi="Times New Roman" w:cs="Times New Roman"/>
        </w:rPr>
        <w:t xml:space="preserve">. При этом пороговое значение было </w:t>
      </w:r>
      <w:r w:rsidR="001537E3" w:rsidRPr="001537E3">
        <w:rPr>
          <w:rFonts w:ascii="Times New Roman" w:hAnsi="Times New Roman" w:cs="Times New Roman"/>
        </w:rPr>
        <w:t xml:space="preserve">адаптировано под используемые продукты </w:t>
      </w:r>
      <w:proofErr w:type="spellStart"/>
      <w:r w:rsidR="001537E3" w:rsidRPr="001537E3">
        <w:rPr>
          <w:rFonts w:ascii="Times New Roman" w:hAnsi="Times New Roman" w:cs="Times New Roman"/>
        </w:rPr>
        <w:t>Landsat</w:t>
      </w:r>
      <w:proofErr w:type="spellEnd"/>
      <w:r w:rsidRPr="00F61AB5">
        <w:rPr>
          <w:rFonts w:ascii="Times New Roman" w:hAnsi="Times New Roman" w:cs="Times New Roman"/>
        </w:rPr>
        <w:t xml:space="preserve">. </w:t>
      </w:r>
    </w:p>
    <w:p w14:paraId="10ECDFC3" w14:textId="655DE2D0" w:rsidR="00E519B0" w:rsidRDefault="000C3253" w:rsidP="0096442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61AB5">
        <w:rPr>
          <w:rFonts w:ascii="Times New Roman" w:hAnsi="Times New Roman" w:cs="Times New Roman"/>
        </w:rPr>
        <w:t xml:space="preserve">В исследовании рассматривается период с 1993 по 2025 год, </w:t>
      </w:r>
      <w:r w:rsidR="001537E3" w:rsidRPr="001537E3">
        <w:rPr>
          <w:rFonts w:ascii="Times New Roman" w:hAnsi="Times New Roman" w:cs="Times New Roman"/>
        </w:rPr>
        <w:t>который характеризуется снижением уровня моря на 2,6 м, начавшимся с 1995 года</w:t>
      </w:r>
      <w:r w:rsidRPr="00F61A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На каждый год по усреднённым за три летних месяца данным </w:t>
      </w:r>
      <w:proofErr w:type="spellStart"/>
      <w:r w:rsidRPr="00F61AB5">
        <w:rPr>
          <w:rFonts w:ascii="Times New Roman" w:hAnsi="Times New Roman" w:cs="Times New Roman"/>
        </w:rPr>
        <w:t>Landsat</w:t>
      </w:r>
      <w:proofErr w:type="spellEnd"/>
      <w:r>
        <w:rPr>
          <w:rFonts w:ascii="Times New Roman" w:hAnsi="Times New Roman" w:cs="Times New Roman"/>
        </w:rPr>
        <w:t xml:space="preserve"> были получены площади акватори</w:t>
      </w:r>
      <w:r w:rsidR="00C03C2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F61AB5">
        <w:rPr>
          <w:rFonts w:ascii="Times New Roman" w:hAnsi="Times New Roman" w:cs="Times New Roman"/>
        </w:rPr>
        <w:t>Каспийского моря и залива Кара-Богаз-Гол</w:t>
      </w:r>
      <w:r>
        <w:rPr>
          <w:rFonts w:ascii="Times New Roman" w:hAnsi="Times New Roman" w:cs="Times New Roman"/>
        </w:rPr>
        <w:t xml:space="preserve">. Площадь акватории соотносилась со средним уровнем воды за аналогичный период. </w:t>
      </w:r>
      <w:r w:rsidR="00E519B0" w:rsidRPr="00E519B0">
        <w:rPr>
          <w:rFonts w:ascii="Times New Roman" w:hAnsi="Times New Roman" w:cs="Times New Roman"/>
        </w:rPr>
        <w:t xml:space="preserve">В данной работе информация об уровне Каспийского моря получена из базы данных спутниковой альтиметрии HYDROWEB. При сравнении данных HYDROWEB с фактическими измерениями было установлено, что на постах бывшего СССР уровень в среднем ниже, чем по данным HYDROWEB на 0,43 м, на </w:t>
      </w:r>
      <w:r w:rsidR="00E519B0" w:rsidRPr="00E519B0">
        <w:rPr>
          <w:rFonts w:ascii="Times New Roman" w:hAnsi="Times New Roman" w:cs="Times New Roman"/>
        </w:rPr>
        <w:lastRenderedPageBreak/>
        <w:t xml:space="preserve">иранских выше на 0,49 м. Данные альтиметрии были скорректированы на 0,43 м, чтобы приблизить их </w:t>
      </w:r>
      <w:r w:rsidR="006D41FB" w:rsidRPr="00E519B0">
        <w:rPr>
          <w:rFonts w:ascii="Times New Roman" w:hAnsi="Times New Roman" w:cs="Times New Roman"/>
        </w:rPr>
        <w:t xml:space="preserve">к </w:t>
      </w:r>
      <w:r w:rsidR="006D41FB">
        <w:rPr>
          <w:rFonts w:ascii="Times New Roman" w:hAnsi="Times New Roman" w:cs="Times New Roman"/>
        </w:rPr>
        <w:t xml:space="preserve">средним значениям постов в </w:t>
      </w:r>
      <w:r w:rsidR="00E519B0" w:rsidRPr="00E519B0">
        <w:rPr>
          <w:rFonts w:ascii="Times New Roman" w:hAnsi="Times New Roman" w:cs="Times New Roman"/>
        </w:rPr>
        <w:t>Балтийской системе высот.</w:t>
      </w:r>
    </w:p>
    <w:p w14:paraId="26EEDAD9" w14:textId="7988B9F1" w:rsidR="002E4B21" w:rsidRPr="00B71A07" w:rsidRDefault="00F61AB5" w:rsidP="009644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F61AB5">
        <w:rPr>
          <w:rFonts w:ascii="Times New Roman" w:hAnsi="Times New Roman" w:cs="Times New Roman"/>
        </w:rPr>
        <w:t xml:space="preserve">В результате </w:t>
      </w:r>
      <w:r w:rsidR="006D41FB">
        <w:rPr>
          <w:rFonts w:ascii="Times New Roman" w:hAnsi="Times New Roman" w:cs="Times New Roman"/>
        </w:rPr>
        <w:t>были</w:t>
      </w:r>
      <w:r w:rsidRPr="00F61AB5">
        <w:rPr>
          <w:rFonts w:ascii="Times New Roman" w:hAnsi="Times New Roman" w:cs="Times New Roman"/>
        </w:rPr>
        <w:t xml:space="preserve"> предложены уравнения регрессии</w:t>
      </w:r>
      <w:r w:rsidR="00E519B0">
        <w:rPr>
          <w:rFonts w:ascii="Times New Roman" w:hAnsi="Times New Roman" w:cs="Times New Roman"/>
        </w:rPr>
        <w:t xml:space="preserve"> (табл. 1)</w:t>
      </w:r>
      <w:r w:rsidRPr="00F61AB5">
        <w:rPr>
          <w:rFonts w:ascii="Times New Roman" w:hAnsi="Times New Roman" w:cs="Times New Roman"/>
        </w:rPr>
        <w:t xml:space="preserve">, позволяющие рассчитывать площадь Каспийского моря и залива Кара-Богаз-Гол по уровню </w:t>
      </w:r>
      <w:r w:rsidR="001537E3">
        <w:rPr>
          <w:rFonts w:ascii="Times New Roman" w:hAnsi="Times New Roman" w:cs="Times New Roman"/>
        </w:rPr>
        <w:t>воды</w:t>
      </w:r>
      <w:r w:rsidRPr="00F61AB5">
        <w:rPr>
          <w:rFonts w:ascii="Times New Roman" w:hAnsi="Times New Roman" w:cs="Times New Roman"/>
        </w:rPr>
        <w:t xml:space="preserve">. Все полученные уравнения регрессии характеризуются очень высокой статистической связью между уровнем водоемов и их площадью с коэффициентами </w:t>
      </w:r>
      <w:r w:rsidR="00FC7186">
        <w:rPr>
          <w:rFonts w:ascii="Times New Roman" w:hAnsi="Times New Roman" w:cs="Times New Roman"/>
        </w:rPr>
        <w:t>детерминации</w:t>
      </w:r>
      <w:r w:rsidRPr="00F61AB5">
        <w:rPr>
          <w:rFonts w:ascii="Times New Roman" w:hAnsi="Times New Roman" w:cs="Times New Roman"/>
        </w:rPr>
        <w:t xml:space="preserve"> 0,95 – 0,99. Авторы рекомендуют использовать полученные уравнения регрессии для расчета площади Каспийского моря при уровнях от -26 до -29 м и для залива Кара-Богаз-Гол при уровнях от -27,1 до -31 м.</w:t>
      </w:r>
      <w:r w:rsidR="00B71A07" w:rsidRPr="00B71A07">
        <w:rPr>
          <w:rFonts w:ascii="Times New Roman" w:hAnsi="Times New Roman" w:cs="Times New Roman"/>
        </w:rPr>
        <w:t xml:space="preserve"> </w:t>
      </w:r>
      <w:r w:rsidR="00B71A07" w:rsidRPr="000238FE">
        <w:rPr>
          <w:rFonts w:ascii="Times New Roman" w:hAnsi="Times New Roman" w:cs="Times New Roman"/>
        </w:rPr>
        <w:t>В пределах исследованных колебаний уровня площади</w:t>
      </w:r>
      <w:r w:rsidR="00B71A07" w:rsidRPr="00B71A07">
        <w:rPr>
          <w:rFonts w:ascii="Times New Roman" w:hAnsi="Times New Roman" w:cs="Times New Roman"/>
        </w:rPr>
        <w:t xml:space="preserve"> </w:t>
      </w:r>
      <w:r w:rsidR="00B71A07" w:rsidRPr="000238FE">
        <w:rPr>
          <w:rFonts w:ascii="Times New Roman" w:hAnsi="Times New Roman" w:cs="Times New Roman"/>
        </w:rPr>
        <w:t xml:space="preserve">Каспийского моря </w:t>
      </w:r>
      <w:r w:rsidR="00B71A07">
        <w:rPr>
          <w:rFonts w:ascii="Times New Roman" w:hAnsi="Times New Roman" w:cs="Times New Roman"/>
        </w:rPr>
        <w:t xml:space="preserve">и </w:t>
      </w:r>
      <w:r w:rsidR="00B71A07" w:rsidRPr="00A80B86">
        <w:rPr>
          <w:rFonts w:ascii="Times New Roman" w:hAnsi="Times New Roman" w:cs="Times New Roman"/>
        </w:rPr>
        <w:t>залива Кара-Богаз-Гол</w:t>
      </w:r>
      <w:r w:rsidR="00B71A07" w:rsidRPr="000238FE">
        <w:rPr>
          <w:rFonts w:ascii="Times New Roman" w:hAnsi="Times New Roman" w:cs="Times New Roman"/>
        </w:rPr>
        <w:t>, полученные по данным ДЗЗ, оказались несколько ниже ранее опубликованных оценок</w:t>
      </w:r>
      <w:r w:rsidR="009136F4">
        <w:rPr>
          <w:rFonts w:ascii="Times New Roman" w:hAnsi="Times New Roman" w:cs="Times New Roman"/>
        </w:rPr>
        <w:t xml:space="preserve"> других исследователей</w:t>
      </w:r>
      <w:r w:rsidR="00B71A07" w:rsidRPr="000238FE">
        <w:rPr>
          <w:rFonts w:ascii="Times New Roman" w:hAnsi="Times New Roman" w:cs="Times New Roman"/>
        </w:rPr>
        <w:t>.</w:t>
      </w:r>
      <w:r w:rsidR="009136F4">
        <w:rPr>
          <w:rFonts w:ascii="Times New Roman" w:hAnsi="Times New Roman" w:cs="Times New Roman"/>
        </w:rPr>
        <w:t xml:space="preserve"> </w:t>
      </w:r>
    </w:p>
    <w:p w14:paraId="05B73AF8" w14:textId="578552E8" w:rsidR="00E957D5" w:rsidRDefault="00E957D5" w:rsidP="00D437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1.</w:t>
      </w:r>
      <w:r w:rsidR="00D43733">
        <w:rPr>
          <w:rFonts w:ascii="Times New Roman" w:hAnsi="Times New Roman" w:cs="Times New Roman"/>
        </w:rPr>
        <w:t xml:space="preserve"> </w:t>
      </w:r>
      <w:r w:rsidRPr="00A80B86">
        <w:rPr>
          <w:rFonts w:ascii="Times New Roman" w:hAnsi="Times New Roman" w:cs="Times New Roman"/>
        </w:rPr>
        <w:t xml:space="preserve">Зависимость площади </w:t>
      </w:r>
      <w:r>
        <w:rPr>
          <w:rFonts w:ascii="Times New Roman" w:hAnsi="Times New Roman" w:cs="Times New Roman"/>
        </w:rPr>
        <w:t xml:space="preserve">Каспийского моря и </w:t>
      </w:r>
      <w:r w:rsidRPr="00A80B86">
        <w:rPr>
          <w:rFonts w:ascii="Times New Roman" w:hAnsi="Times New Roman" w:cs="Times New Roman"/>
        </w:rPr>
        <w:t>залива Кара-Богаз-Гол от уровня воды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5670"/>
        <w:gridCol w:w="986"/>
      </w:tblGrid>
      <w:tr w:rsidR="00E957D5" w14:paraId="226D1278" w14:textId="77777777" w:rsidTr="00136E82">
        <w:tc>
          <w:tcPr>
            <w:tcW w:w="2689" w:type="dxa"/>
          </w:tcPr>
          <w:p w14:paraId="330A2691" w14:textId="74DDACE7" w:rsidR="00E957D5" w:rsidRPr="00136E82" w:rsidRDefault="00136E82" w:rsidP="00136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объект</w:t>
            </w:r>
          </w:p>
        </w:tc>
        <w:tc>
          <w:tcPr>
            <w:tcW w:w="5670" w:type="dxa"/>
          </w:tcPr>
          <w:p w14:paraId="27764465" w14:textId="744E1BC5" w:rsidR="00E957D5" w:rsidRDefault="00E957D5" w:rsidP="00136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Уравнении </w:t>
            </w:r>
            <w:r w:rsidR="00136E82">
              <w:rPr>
                <w:rFonts w:ascii="Times New Roman" w:hAnsi="Times New Roman" w:cs="Times New Roman"/>
              </w:rPr>
              <w:t>регрессии для расчета площади</w:t>
            </w:r>
          </w:p>
        </w:tc>
        <w:tc>
          <w:tcPr>
            <w:tcW w:w="986" w:type="dxa"/>
          </w:tcPr>
          <w:p w14:paraId="7F2AA79C" w14:textId="2B8D9A0E" w:rsidR="00E957D5" w:rsidRPr="00136E82" w:rsidRDefault="00136E82" w:rsidP="00136E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136E82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</w:tr>
      <w:tr w:rsidR="00E957D5" w14:paraId="51B8793F" w14:textId="77777777" w:rsidTr="00136E82">
        <w:tc>
          <w:tcPr>
            <w:tcW w:w="2689" w:type="dxa"/>
          </w:tcPr>
          <w:p w14:paraId="4D6A56BE" w14:textId="48A8EFD1" w:rsidR="00E957D5" w:rsidRDefault="00E957D5" w:rsidP="00136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Каспийское море</w:t>
            </w:r>
          </w:p>
        </w:tc>
        <w:tc>
          <w:tcPr>
            <w:tcW w:w="5670" w:type="dxa"/>
          </w:tcPr>
          <w:p w14:paraId="038E8600" w14:textId="17838774" w:rsidR="00E957D5" w:rsidRPr="00136E82" w:rsidRDefault="00136E82" w:rsidP="00136E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y=11,139*x+680,24</w:t>
            </w:r>
          </w:p>
        </w:tc>
        <w:tc>
          <w:tcPr>
            <w:tcW w:w="986" w:type="dxa"/>
          </w:tcPr>
          <w:p w14:paraId="0DB772B6" w14:textId="212DAE5B" w:rsidR="00E957D5" w:rsidRPr="00136E82" w:rsidRDefault="00136E82" w:rsidP="00136E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0,95</w:t>
            </w:r>
          </w:p>
        </w:tc>
      </w:tr>
      <w:tr w:rsidR="00E957D5" w14:paraId="0282E76F" w14:textId="77777777" w:rsidTr="00136E82">
        <w:tc>
          <w:tcPr>
            <w:tcW w:w="2689" w:type="dxa"/>
          </w:tcPr>
          <w:p w14:paraId="2D104A84" w14:textId="26F6FE6C" w:rsidR="00E957D5" w:rsidRDefault="00E957D5" w:rsidP="00136E82">
            <w:pPr>
              <w:jc w:val="center"/>
              <w:rPr>
                <w:rFonts w:ascii="Times New Roman" w:hAnsi="Times New Roman" w:cs="Times New Roman"/>
              </w:rPr>
            </w:pPr>
            <w:r w:rsidRPr="00A80B86">
              <w:rPr>
                <w:rFonts w:ascii="Times New Roman" w:hAnsi="Times New Roman" w:cs="Times New Roman"/>
              </w:rPr>
              <w:t>Кара-Богаз-Гол</w:t>
            </w:r>
          </w:p>
        </w:tc>
        <w:tc>
          <w:tcPr>
            <w:tcW w:w="5670" w:type="dxa"/>
          </w:tcPr>
          <w:p w14:paraId="6507819E" w14:textId="65C2E798" w:rsidR="00E957D5" w:rsidRPr="00136E82" w:rsidRDefault="00136E82" w:rsidP="00136E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y=-0,2101*x-11,493*x-138,55</w:t>
            </w:r>
          </w:p>
        </w:tc>
        <w:tc>
          <w:tcPr>
            <w:tcW w:w="986" w:type="dxa"/>
          </w:tcPr>
          <w:p w14:paraId="6C04782B" w14:textId="50AA2598" w:rsidR="00E957D5" w:rsidRPr="00136E82" w:rsidRDefault="00136E82" w:rsidP="00136E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0,99</w:t>
            </w:r>
          </w:p>
        </w:tc>
      </w:tr>
    </w:tbl>
    <w:p w14:paraId="750721AC" w14:textId="77777777" w:rsidR="00E957D5" w:rsidRDefault="00E957D5" w:rsidP="00F61AB5">
      <w:pPr>
        <w:jc w:val="both"/>
        <w:rPr>
          <w:rFonts w:ascii="Times New Roman" w:hAnsi="Times New Roman" w:cs="Times New Roman"/>
        </w:rPr>
      </w:pPr>
    </w:p>
    <w:p w14:paraId="2961A465" w14:textId="5D6AF0B7" w:rsidR="00E519B0" w:rsidRPr="00E519B0" w:rsidRDefault="00E519B0" w:rsidP="00964428">
      <w:pPr>
        <w:ind w:firstLine="709"/>
        <w:jc w:val="both"/>
        <w:rPr>
          <w:rFonts w:ascii="Times New Roman" w:hAnsi="Times New Roman" w:cs="Times New Roman"/>
          <w:i/>
          <w:iCs/>
        </w:rPr>
      </w:pPr>
      <w:r w:rsidRPr="00E519B0">
        <w:rPr>
          <w:rFonts w:ascii="Times New Roman" w:hAnsi="Times New Roman" w:cs="Times New Roman"/>
          <w:i/>
          <w:iCs/>
        </w:rPr>
        <w:t xml:space="preserve">Исследования по получению уравнений регрессии для расчета площади Каспийского моря и залива Кара-Богаз-Гол выполнены при поддержке гранта РНФ N 23-77-00027 «Исследование климатической изменчивости термогидродинамического режима Каспийского моря по данным дистанционного зондирования», https://rscf.ru/project/23-77-00027/. Часть работы, связанная с установлением отклонений в измерении уровня моря на различных постах Каспийского моря и внесением поправки для </w:t>
      </w:r>
      <w:proofErr w:type="spellStart"/>
      <w:r w:rsidRPr="00E519B0">
        <w:rPr>
          <w:rFonts w:ascii="Times New Roman" w:hAnsi="Times New Roman" w:cs="Times New Roman"/>
          <w:i/>
          <w:iCs/>
        </w:rPr>
        <w:t>альтиметрических</w:t>
      </w:r>
      <w:proofErr w:type="spellEnd"/>
      <w:r w:rsidRPr="00E519B0">
        <w:rPr>
          <w:rFonts w:ascii="Times New Roman" w:hAnsi="Times New Roman" w:cs="Times New Roman"/>
          <w:i/>
          <w:iCs/>
        </w:rPr>
        <w:t xml:space="preserve"> данных выполнена в рамках темы Госбюджета FMWE-2026-0004 «Моделирование компонентов водного баланса Каспийского моря на перспективу до конца XXI в. для оценки сценариев будущих изменений водного баланса. Разработка рекомендаций по адаптации населения и хозяйствующих субъектов к изменениям уровня Каспия</w:t>
      </w:r>
      <w:r w:rsidR="007448EC">
        <w:rPr>
          <w:rFonts w:ascii="Times New Roman" w:hAnsi="Times New Roman" w:cs="Times New Roman"/>
          <w:i/>
          <w:iCs/>
        </w:rPr>
        <w:t>.</w:t>
      </w:r>
      <w:r w:rsidRPr="00E519B0">
        <w:rPr>
          <w:rFonts w:ascii="Times New Roman" w:hAnsi="Times New Roman" w:cs="Times New Roman"/>
          <w:i/>
          <w:iCs/>
        </w:rPr>
        <w:t>»</w:t>
      </w:r>
    </w:p>
    <w:p w14:paraId="4760B522" w14:textId="77777777" w:rsidR="00E519B0" w:rsidRPr="00E519B0" w:rsidRDefault="00E519B0" w:rsidP="005F0EDB">
      <w:pPr>
        <w:pStyle w:val="a7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E519B0">
        <w:rPr>
          <w:rFonts w:ascii="Times New Roman" w:hAnsi="Times New Roman" w:cs="Times New Roman"/>
          <w:b/>
          <w:shd w:val="clear" w:color="auto" w:fill="FFFFFF"/>
        </w:rPr>
        <w:t>Список литературы</w:t>
      </w:r>
    </w:p>
    <w:p w14:paraId="281A9351" w14:textId="6C14F84B" w:rsidR="009C4A58" w:rsidRPr="000238FE" w:rsidRDefault="009C4A58" w:rsidP="005F0EDB">
      <w:pPr>
        <w:pStyle w:val="ae"/>
        <w:numPr>
          <w:ilvl w:val="0"/>
          <w:numId w:val="1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proofErr w:type="spellStart"/>
      <w:r w:rsidRPr="000238FE">
        <w:rPr>
          <w:rFonts w:ascii="Times New Roman" w:hAnsi="Times New Roman" w:cs="Times New Roman"/>
          <w:i/>
        </w:rPr>
        <w:t>Кудрицкий</w:t>
      </w:r>
      <w:proofErr w:type="spellEnd"/>
      <w:r w:rsidRPr="000238FE">
        <w:rPr>
          <w:rFonts w:ascii="Times New Roman" w:hAnsi="Times New Roman" w:cs="Times New Roman"/>
          <w:i/>
        </w:rPr>
        <w:t xml:space="preserve"> Д.М.</w:t>
      </w:r>
      <w:r w:rsidRPr="000238FE">
        <w:rPr>
          <w:rFonts w:ascii="Times New Roman" w:hAnsi="Times New Roman" w:cs="Times New Roman"/>
        </w:rPr>
        <w:t xml:space="preserve"> Площадь поверхности Каспийского моря //Труды НИУ ГУГМС. 1941. № 1. С. 67–70.</w:t>
      </w:r>
      <w:r w:rsidRPr="000238FE">
        <w:rPr>
          <w:rFonts w:ascii="Times New Roman" w:hAnsi="Times New Roman" w:cs="Times New Roman"/>
          <w:i/>
        </w:rPr>
        <w:t>Аполлов Б.А.</w:t>
      </w:r>
      <w:r w:rsidRPr="000238FE">
        <w:rPr>
          <w:rFonts w:ascii="Times New Roman" w:hAnsi="Times New Roman" w:cs="Times New Roman"/>
        </w:rPr>
        <w:t xml:space="preserve"> Колебания уровня Каспийского моря // Труды ИОАН. 1956. Т. 15. С. 27–31.</w:t>
      </w:r>
    </w:p>
    <w:p w14:paraId="65FB0301" w14:textId="338CFDD9" w:rsidR="009C4A58" w:rsidRPr="009C4A58" w:rsidRDefault="009C4A58" w:rsidP="005F0EDB">
      <w:pPr>
        <w:pStyle w:val="ae"/>
        <w:numPr>
          <w:ilvl w:val="0"/>
          <w:numId w:val="1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proofErr w:type="spellStart"/>
      <w:r w:rsidRPr="009C4A58">
        <w:rPr>
          <w:rFonts w:ascii="Times New Roman" w:hAnsi="Times New Roman" w:cs="Times New Roman"/>
          <w:i/>
        </w:rPr>
        <w:t>Аполлов</w:t>
      </w:r>
      <w:proofErr w:type="spellEnd"/>
      <w:r w:rsidRPr="009C4A58">
        <w:rPr>
          <w:rFonts w:ascii="Times New Roman" w:hAnsi="Times New Roman" w:cs="Times New Roman"/>
          <w:i/>
        </w:rPr>
        <w:t xml:space="preserve"> Б.А.</w:t>
      </w:r>
      <w:r w:rsidRPr="009C4A58">
        <w:rPr>
          <w:rFonts w:ascii="Times New Roman" w:hAnsi="Times New Roman" w:cs="Times New Roman"/>
        </w:rPr>
        <w:t xml:space="preserve"> Колебания уровня Каспийского моря // Труды ИОАН. 1956. Т. 15. С. 27–31.</w:t>
      </w:r>
    </w:p>
    <w:p w14:paraId="50D1B097" w14:textId="7AA6A453" w:rsidR="009C4A58" w:rsidRDefault="009C4A58" w:rsidP="005F0EDB">
      <w:pPr>
        <w:pStyle w:val="ae"/>
        <w:numPr>
          <w:ilvl w:val="0"/>
          <w:numId w:val="1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0238FE">
        <w:rPr>
          <w:rFonts w:ascii="Times New Roman" w:hAnsi="Times New Roman" w:cs="Times New Roman"/>
          <w:i/>
        </w:rPr>
        <w:t xml:space="preserve">Николаева Р.В. </w:t>
      </w:r>
      <w:r w:rsidRPr="000238FE">
        <w:rPr>
          <w:rFonts w:ascii="Times New Roman" w:hAnsi="Times New Roman" w:cs="Times New Roman"/>
        </w:rPr>
        <w:t>Новые морфометрические характеристики Каспийского моря // Бюллетень МОИП. Отд. геолог. 1971. № 1. С. 143.</w:t>
      </w:r>
    </w:p>
    <w:p w14:paraId="542C6AB7" w14:textId="0A03DA13" w:rsidR="006D41FB" w:rsidRPr="000238FE" w:rsidRDefault="006D41FB" w:rsidP="005F0EDB">
      <w:pPr>
        <w:pStyle w:val="ae"/>
        <w:numPr>
          <w:ilvl w:val="0"/>
          <w:numId w:val="1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0238FE">
        <w:rPr>
          <w:rFonts w:ascii="Times New Roman" w:hAnsi="Times New Roman" w:cs="Times New Roman"/>
          <w:i/>
        </w:rPr>
        <w:t>Абузяров З.К.</w:t>
      </w:r>
      <w:r w:rsidRPr="000238FE">
        <w:rPr>
          <w:rFonts w:ascii="Times New Roman" w:hAnsi="Times New Roman" w:cs="Times New Roman"/>
        </w:rPr>
        <w:t xml:space="preserve"> Роль составляющих водного баланса Каспийского моря в месячных и годовых приращениях его уровня // Труды Гидрометцентра России. 2006. № 341. С. 3–27.</w:t>
      </w:r>
    </w:p>
    <w:p w14:paraId="2B36D14F" w14:textId="77777777" w:rsidR="009C4A58" w:rsidRDefault="009C4A58" w:rsidP="005F0EDB">
      <w:pPr>
        <w:pStyle w:val="a7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238FE">
        <w:rPr>
          <w:rFonts w:ascii="Times New Roman" w:hAnsi="Times New Roman" w:cs="Times New Roman"/>
          <w:i/>
        </w:rPr>
        <w:t>Нестеров Е.С. (Ред.)</w:t>
      </w:r>
      <w:r w:rsidRPr="000238FE">
        <w:rPr>
          <w:rFonts w:ascii="Times New Roman" w:hAnsi="Times New Roman" w:cs="Times New Roman"/>
        </w:rPr>
        <w:t xml:space="preserve"> Водный баланс и колебания уровня Каспийского моря. Моделирование и прогноз. М: Триада </w:t>
      </w:r>
      <w:proofErr w:type="spellStart"/>
      <w:r w:rsidRPr="000238FE">
        <w:rPr>
          <w:rFonts w:ascii="Times New Roman" w:hAnsi="Times New Roman" w:cs="Times New Roman"/>
        </w:rPr>
        <w:t>лтд</w:t>
      </w:r>
      <w:proofErr w:type="spellEnd"/>
      <w:r w:rsidRPr="000238FE">
        <w:rPr>
          <w:rFonts w:ascii="Times New Roman" w:hAnsi="Times New Roman" w:cs="Times New Roman"/>
        </w:rPr>
        <w:t>, 2016. 378 с.</w:t>
      </w:r>
    </w:p>
    <w:p w14:paraId="6BBDC5B4" w14:textId="38BC4F31" w:rsidR="005A6236" w:rsidRPr="009C4A58" w:rsidRDefault="009C4A58" w:rsidP="005F0EDB">
      <w:pPr>
        <w:pStyle w:val="a7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9C4A58">
        <w:rPr>
          <w:rFonts w:ascii="Times New Roman" w:hAnsi="Times New Roman" w:cs="Times New Roman"/>
          <w:i/>
        </w:rPr>
        <w:t xml:space="preserve">Бочаров А.В., </w:t>
      </w:r>
      <w:proofErr w:type="spellStart"/>
      <w:r w:rsidRPr="009C4A58">
        <w:rPr>
          <w:rFonts w:ascii="Times New Roman" w:hAnsi="Times New Roman" w:cs="Times New Roman"/>
          <w:i/>
        </w:rPr>
        <w:t>Межеумов</w:t>
      </w:r>
      <w:proofErr w:type="spellEnd"/>
      <w:r w:rsidRPr="009C4A58">
        <w:rPr>
          <w:rFonts w:ascii="Times New Roman" w:hAnsi="Times New Roman" w:cs="Times New Roman"/>
          <w:i/>
        </w:rPr>
        <w:t xml:space="preserve"> И.Н., Пахомов П.М., и др., </w:t>
      </w:r>
      <w:r w:rsidRPr="009C4A58">
        <w:rPr>
          <w:rFonts w:ascii="Times New Roman" w:hAnsi="Times New Roman" w:cs="Times New Roman"/>
          <w:iCs/>
        </w:rPr>
        <w:t xml:space="preserve">Территориальная дифференциация водных и наземных геосистем с использованием данных космических сенсоров // Гидрометеорология и экология. </w:t>
      </w:r>
      <w:r w:rsidRPr="009C4A58">
        <w:rPr>
          <w:rFonts w:ascii="Times New Roman" w:hAnsi="Times New Roman" w:cs="Times New Roman"/>
        </w:rPr>
        <w:t xml:space="preserve">2021. № 65. С. 726–737. </w:t>
      </w:r>
      <w:r w:rsidRPr="009C4A58">
        <w:rPr>
          <w:rFonts w:ascii="Times New Roman" w:hAnsi="Times New Roman" w:cs="Times New Roman"/>
          <w:lang w:val="en-US"/>
        </w:rPr>
        <w:t>DOI</w:t>
      </w:r>
      <w:r w:rsidRPr="009C4A58">
        <w:rPr>
          <w:rFonts w:ascii="Times New Roman" w:hAnsi="Times New Roman" w:cs="Times New Roman"/>
        </w:rPr>
        <w:t>: 10.33933/2713-3001-2021-65-726-737.</w:t>
      </w:r>
    </w:p>
    <w:sectPr w:rsidR="005A6236" w:rsidRPr="009C4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85C6E"/>
    <w:multiLevelType w:val="hybridMultilevel"/>
    <w:tmpl w:val="0E52C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75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21"/>
    <w:rsid w:val="00012A39"/>
    <w:rsid w:val="0006091C"/>
    <w:rsid w:val="000C3253"/>
    <w:rsid w:val="000D70C6"/>
    <w:rsid w:val="00101568"/>
    <w:rsid w:val="00136E82"/>
    <w:rsid w:val="001537E3"/>
    <w:rsid w:val="00191C29"/>
    <w:rsid w:val="001F533F"/>
    <w:rsid w:val="002E4B21"/>
    <w:rsid w:val="003A2605"/>
    <w:rsid w:val="004A2DD1"/>
    <w:rsid w:val="005A6236"/>
    <w:rsid w:val="005F0EDB"/>
    <w:rsid w:val="0064797F"/>
    <w:rsid w:val="006D41FB"/>
    <w:rsid w:val="007448EC"/>
    <w:rsid w:val="009136F4"/>
    <w:rsid w:val="00962500"/>
    <w:rsid w:val="00964428"/>
    <w:rsid w:val="009C4A58"/>
    <w:rsid w:val="00B15898"/>
    <w:rsid w:val="00B71A07"/>
    <w:rsid w:val="00C03C28"/>
    <w:rsid w:val="00C8590E"/>
    <w:rsid w:val="00D43733"/>
    <w:rsid w:val="00D608AC"/>
    <w:rsid w:val="00DF2C82"/>
    <w:rsid w:val="00E519B0"/>
    <w:rsid w:val="00E957D5"/>
    <w:rsid w:val="00E9582D"/>
    <w:rsid w:val="00EE4D10"/>
    <w:rsid w:val="00F2523F"/>
    <w:rsid w:val="00F61AB5"/>
    <w:rsid w:val="00FC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6EE2"/>
  <w15:chartTrackingRefBased/>
  <w15:docId w15:val="{A807830C-4B64-40E4-BBC7-B5020F64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B21"/>
  </w:style>
  <w:style w:type="paragraph" w:styleId="1">
    <w:name w:val="heading 1"/>
    <w:basedOn w:val="a"/>
    <w:next w:val="a"/>
    <w:link w:val="10"/>
    <w:uiPriority w:val="9"/>
    <w:qFormat/>
    <w:rsid w:val="002E4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4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4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4B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4B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4B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4B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4B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4B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4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4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4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4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4B2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2E4B2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E4B2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E4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E4B21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E4B21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rsid w:val="00E519B0"/>
  </w:style>
  <w:style w:type="table" w:styleId="ad">
    <w:name w:val="Table Grid"/>
    <w:basedOn w:val="a1"/>
    <w:uiPriority w:val="39"/>
    <w:rsid w:val="00E9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ibliography"/>
    <w:basedOn w:val="a"/>
    <w:next w:val="a"/>
    <w:uiPriority w:val="37"/>
    <w:semiHidden/>
    <w:unhideWhenUsed/>
    <w:rsid w:val="006D41FB"/>
  </w:style>
  <w:style w:type="character" w:styleId="af">
    <w:name w:val="Hyperlink"/>
    <w:basedOn w:val="a0"/>
    <w:uiPriority w:val="99"/>
    <w:unhideWhenUsed/>
    <w:rsid w:val="0064797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47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bochalex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2026-06-07T18:40:00Z</dcterms:created>
  <dcterms:modified xsi:type="dcterms:W3CDTF">2026-06-07T22:53:00Z</dcterms:modified>
</cp:coreProperties>
</file>