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D1AE" w14:textId="508D93BD" w:rsidR="006F41FB" w:rsidRPr="00E52FD3" w:rsidRDefault="0080431F">
      <w:pPr>
        <w:rPr>
          <w:sz w:val="24"/>
          <w:szCs w:val="24"/>
        </w:rPr>
      </w:pPr>
      <w:r w:rsidRPr="00E52FD3">
        <w:rPr>
          <w:sz w:val="24"/>
          <w:szCs w:val="24"/>
        </w:rPr>
        <w:t>ПОЛИГОН ПОДСПУТНИКОВЫХ ИЗМЕРЕНИЙ «МЗЫМТА»</w:t>
      </w:r>
    </w:p>
    <w:p w14:paraId="0729E8BA" w14:textId="10AC8C0E" w:rsidR="0080431F" w:rsidRPr="00E52FD3" w:rsidRDefault="0080431F">
      <w:pPr>
        <w:rPr>
          <w:sz w:val="24"/>
          <w:szCs w:val="24"/>
        </w:rPr>
      </w:pPr>
      <w:r w:rsidRPr="00E52FD3">
        <w:rPr>
          <w:sz w:val="24"/>
          <w:szCs w:val="24"/>
        </w:rPr>
        <w:t>К.Р. Назирова</w:t>
      </w:r>
    </w:p>
    <w:p w14:paraId="0ED482AE" w14:textId="7762FE54" w:rsidR="0080431F" w:rsidRPr="00E52FD3" w:rsidRDefault="0080431F">
      <w:pPr>
        <w:rPr>
          <w:sz w:val="24"/>
          <w:szCs w:val="24"/>
        </w:rPr>
      </w:pPr>
      <w:r w:rsidRPr="00E52FD3">
        <w:rPr>
          <w:sz w:val="24"/>
          <w:szCs w:val="24"/>
        </w:rPr>
        <w:t>Институт космических исследований РАН, Москва,</w:t>
      </w:r>
      <w:r w:rsidRPr="00E52FD3">
        <w:rPr>
          <w:sz w:val="24"/>
          <w:szCs w:val="24"/>
        </w:rPr>
        <w:t xml:space="preserve"> </w:t>
      </w:r>
      <w:r w:rsidRPr="00E52FD3">
        <w:rPr>
          <w:sz w:val="24"/>
          <w:szCs w:val="24"/>
          <w:lang w:val="en-US"/>
        </w:rPr>
        <w:t>knazirova</w:t>
      </w:r>
      <w:r w:rsidRPr="00E52FD3">
        <w:rPr>
          <w:sz w:val="24"/>
          <w:szCs w:val="24"/>
        </w:rPr>
        <w:t>@</w:t>
      </w:r>
      <w:r w:rsidRPr="00E52FD3">
        <w:rPr>
          <w:sz w:val="24"/>
          <w:szCs w:val="24"/>
          <w:lang w:val="en-US"/>
        </w:rPr>
        <w:t>cosmos</w:t>
      </w:r>
      <w:r w:rsidRPr="00E52FD3">
        <w:rPr>
          <w:sz w:val="24"/>
          <w:szCs w:val="24"/>
        </w:rPr>
        <w:t>.</w:t>
      </w:r>
      <w:r w:rsidRPr="00E52FD3">
        <w:rPr>
          <w:sz w:val="24"/>
          <w:szCs w:val="24"/>
          <w:lang w:val="en-US"/>
        </w:rPr>
        <w:t>ru</w:t>
      </w:r>
    </w:p>
    <w:p w14:paraId="1B949FF7" w14:textId="2F92F4F6" w:rsidR="0080431F" w:rsidRPr="00E52FD3" w:rsidRDefault="0080431F">
      <w:pPr>
        <w:rPr>
          <w:sz w:val="24"/>
          <w:szCs w:val="24"/>
        </w:rPr>
      </w:pPr>
      <w:r w:rsidRPr="00E52FD3">
        <w:rPr>
          <w:sz w:val="24"/>
          <w:szCs w:val="24"/>
        </w:rPr>
        <w:t>Ключевые слова:</w:t>
      </w:r>
      <w:r w:rsidR="00450CB8">
        <w:rPr>
          <w:sz w:val="24"/>
          <w:szCs w:val="24"/>
        </w:rPr>
        <w:t xml:space="preserve"> натурные измерения, </w:t>
      </w:r>
      <w:r w:rsidR="00B84148">
        <w:rPr>
          <w:sz w:val="24"/>
          <w:szCs w:val="24"/>
        </w:rPr>
        <w:t>валидация спутниковых алгоритмом, речной плюм, мутность морской воды, Черное море.</w:t>
      </w:r>
    </w:p>
    <w:p w14:paraId="5E7600D0" w14:textId="1C6069E2" w:rsidR="0080431F" w:rsidRDefault="00E52FD3" w:rsidP="00E52FD3">
      <w:pPr>
        <w:jc w:val="both"/>
        <w:rPr>
          <w:sz w:val="24"/>
          <w:szCs w:val="24"/>
        </w:rPr>
      </w:pPr>
      <w:r w:rsidRPr="00E52FD3">
        <w:rPr>
          <w:sz w:val="24"/>
          <w:szCs w:val="24"/>
        </w:rPr>
        <w:t xml:space="preserve">В докладе представлен обзор многолетних натурных подпустниковых измерений в районе выноса реки Мзымта в северо-восточной части Черного моря. В период с 2018 по 2026 гг. </w:t>
      </w:r>
      <w:r w:rsidRPr="00E52FD3">
        <w:rPr>
          <w:sz w:val="24"/>
          <w:szCs w:val="24"/>
        </w:rPr>
        <w:t>выполнено 42 выхода в море и 865 CTD-станций</w:t>
      </w:r>
      <w:r w:rsidRPr="00E52FD3">
        <w:rPr>
          <w:sz w:val="24"/>
          <w:szCs w:val="24"/>
        </w:rPr>
        <w:t xml:space="preserve">. Океанологические измерения включали в себя измерения с помощью </w:t>
      </w:r>
      <w:r w:rsidRPr="00E52FD3">
        <w:rPr>
          <w:sz w:val="24"/>
          <w:szCs w:val="24"/>
        </w:rPr>
        <w:t>CTD-зонд</w:t>
      </w:r>
      <w:r w:rsidRPr="00E52FD3">
        <w:rPr>
          <w:sz w:val="24"/>
          <w:szCs w:val="24"/>
        </w:rPr>
        <w:t>а</w:t>
      </w:r>
      <w:r w:rsidRPr="00E52FD3">
        <w:rPr>
          <w:sz w:val="24"/>
          <w:szCs w:val="24"/>
        </w:rPr>
        <w:t xml:space="preserve"> RBR-concerto, </w:t>
      </w:r>
      <w:r w:rsidRPr="00E52FD3">
        <w:rPr>
          <w:sz w:val="24"/>
          <w:szCs w:val="24"/>
        </w:rPr>
        <w:t xml:space="preserve">портативного </w:t>
      </w:r>
      <w:r w:rsidRPr="00E52FD3">
        <w:rPr>
          <w:sz w:val="24"/>
          <w:szCs w:val="24"/>
        </w:rPr>
        <w:t>турбидиметр</w:t>
      </w:r>
      <w:r w:rsidRPr="00E52FD3">
        <w:rPr>
          <w:sz w:val="24"/>
          <w:szCs w:val="24"/>
        </w:rPr>
        <w:t xml:space="preserve">а </w:t>
      </w:r>
      <w:r w:rsidRPr="00E52FD3">
        <w:rPr>
          <w:sz w:val="24"/>
          <w:szCs w:val="24"/>
          <w:lang w:val="en-US"/>
        </w:rPr>
        <w:t>Apera</w:t>
      </w:r>
      <w:r w:rsidRPr="00E52FD3">
        <w:rPr>
          <w:sz w:val="24"/>
          <w:szCs w:val="24"/>
        </w:rPr>
        <w:t xml:space="preserve"> и отбор морских проб в поверхностном слое для дальнейшего восстановления концентрации взвешенного вещества классическим весовым методом. В качестве </w:t>
      </w:r>
      <w:r w:rsidR="005D23F2">
        <w:rPr>
          <w:sz w:val="24"/>
          <w:szCs w:val="24"/>
        </w:rPr>
        <w:t xml:space="preserve">основных </w:t>
      </w:r>
      <w:r w:rsidRPr="00E52FD3">
        <w:rPr>
          <w:sz w:val="24"/>
          <w:szCs w:val="24"/>
        </w:rPr>
        <w:t>спутниковых данных были и</w:t>
      </w:r>
      <w:r w:rsidRPr="00E52FD3">
        <w:rPr>
          <w:sz w:val="24"/>
          <w:szCs w:val="24"/>
        </w:rPr>
        <w:t xml:space="preserve">спользованы архивы </w:t>
      </w:r>
      <w:r w:rsidR="005D23F2">
        <w:rPr>
          <w:sz w:val="24"/>
          <w:szCs w:val="24"/>
        </w:rPr>
        <w:t xml:space="preserve">оптических данных высокого пространственного разрешения </w:t>
      </w:r>
      <w:r w:rsidRPr="00E52FD3">
        <w:rPr>
          <w:sz w:val="24"/>
          <w:szCs w:val="24"/>
        </w:rPr>
        <w:t>Landsat-8/9 (сенсор OLI) и Sentinel-2 (сенсор MSI)</w:t>
      </w:r>
      <w:r>
        <w:rPr>
          <w:sz w:val="24"/>
          <w:szCs w:val="24"/>
        </w:rPr>
        <w:t>.</w:t>
      </w:r>
      <w:r w:rsidR="005D23F2">
        <w:rPr>
          <w:sz w:val="24"/>
          <w:szCs w:val="24"/>
        </w:rPr>
        <w:t xml:space="preserve"> Отдельное внимание уделено обоснованию методики восстановления поля мутности на основе натурных и дистанционных методов измерения. В докладе представлены основные результаты, полученные за весь период исследований. Представлены оценки расчетов</w:t>
      </w:r>
      <w:r w:rsidR="005D23F2" w:rsidRPr="005D23F2">
        <w:rPr>
          <w:sz w:val="24"/>
          <w:szCs w:val="24"/>
        </w:rPr>
        <w:t xml:space="preserve"> скорост</w:t>
      </w:r>
      <w:r w:rsidR="005D23F2">
        <w:rPr>
          <w:sz w:val="24"/>
          <w:szCs w:val="24"/>
        </w:rPr>
        <w:t xml:space="preserve">и </w:t>
      </w:r>
      <w:r w:rsidR="005D23F2" w:rsidRPr="005D23F2">
        <w:rPr>
          <w:sz w:val="24"/>
          <w:szCs w:val="24"/>
        </w:rPr>
        <w:t>краткосрочного смещения границ плюма под влиянием ветр</w:t>
      </w:r>
      <w:r w:rsidR="005D23F2">
        <w:rPr>
          <w:sz w:val="24"/>
          <w:szCs w:val="24"/>
        </w:rPr>
        <w:t>ового поля. Показано, что</w:t>
      </w:r>
      <w:r w:rsidR="005D23F2" w:rsidRPr="005D23F2">
        <w:rPr>
          <w:sz w:val="24"/>
          <w:szCs w:val="24"/>
        </w:rPr>
        <w:t xml:space="preserve"> глубина интрузии речных вод стабильна и составляет 2–4 метра</w:t>
      </w:r>
      <w:r w:rsidR="005D23F2">
        <w:rPr>
          <w:sz w:val="24"/>
          <w:szCs w:val="24"/>
        </w:rPr>
        <w:t xml:space="preserve">. </w:t>
      </w:r>
      <w:r w:rsidR="005D23F2" w:rsidRPr="005D23F2">
        <w:rPr>
          <w:sz w:val="24"/>
          <w:szCs w:val="24"/>
        </w:rPr>
        <w:t>Горизонтальные (поверхностные) масштабы плюмов во много раз превышают вертикальные масштабы.</w:t>
      </w:r>
      <w:r w:rsidR="005D23F2">
        <w:rPr>
          <w:sz w:val="24"/>
          <w:szCs w:val="24"/>
        </w:rPr>
        <w:t xml:space="preserve"> Представлены результаты валидации стандартных спутниковых алгоритмов </w:t>
      </w:r>
      <w:r w:rsidR="005D23F2" w:rsidRPr="005D23F2">
        <w:rPr>
          <w:sz w:val="24"/>
          <w:szCs w:val="24"/>
        </w:rPr>
        <w:t xml:space="preserve">ACOLITE </w:t>
      </w:r>
      <w:r w:rsidR="005D23F2">
        <w:rPr>
          <w:sz w:val="24"/>
          <w:szCs w:val="24"/>
        </w:rPr>
        <w:t>(</w:t>
      </w:r>
      <w:r w:rsidR="005D23F2" w:rsidRPr="005D23F2">
        <w:rPr>
          <w:sz w:val="24"/>
          <w:szCs w:val="24"/>
        </w:rPr>
        <w:t>Nechad, Dogliotti</w:t>
      </w:r>
      <w:r w:rsidR="005D23F2">
        <w:rPr>
          <w:sz w:val="24"/>
          <w:szCs w:val="24"/>
        </w:rPr>
        <w:t xml:space="preserve">) </w:t>
      </w:r>
      <w:r w:rsidR="005D23F2" w:rsidRPr="005D23F2">
        <w:rPr>
          <w:sz w:val="24"/>
          <w:szCs w:val="24"/>
        </w:rPr>
        <w:t>и алгоритм</w:t>
      </w:r>
      <w:r w:rsidR="005D23F2">
        <w:rPr>
          <w:sz w:val="24"/>
          <w:szCs w:val="24"/>
        </w:rPr>
        <w:t>а</w:t>
      </w:r>
      <w:r w:rsidR="005D23F2" w:rsidRPr="005D23F2">
        <w:rPr>
          <w:sz w:val="24"/>
          <w:szCs w:val="24"/>
        </w:rPr>
        <w:t xml:space="preserve"> C2RCC</w:t>
      </w:r>
      <w:r w:rsidR="00450CB8">
        <w:rPr>
          <w:sz w:val="24"/>
          <w:szCs w:val="24"/>
        </w:rPr>
        <w:t xml:space="preserve"> для восстановления поля мутности и концентрации взвешенного вещества. </w:t>
      </w:r>
      <w:r w:rsidR="00450CB8" w:rsidRPr="00450CB8">
        <w:rPr>
          <w:sz w:val="24"/>
          <w:szCs w:val="24"/>
        </w:rPr>
        <w:t>Исключение быстродинамичного сдвига границ</w:t>
      </w:r>
      <w:r w:rsidR="00450CB8">
        <w:rPr>
          <w:sz w:val="24"/>
          <w:szCs w:val="24"/>
        </w:rPr>
        <w:t>ы</w:t>
      </w:r>
      <w:r w:rsidR="00450CB8" w:rsidRPr="00450CB8">
        <w:rPr>
          <w:sz w:val="24"/>
          <w:szCs w:val="24"/>
        </w:rPr>
        <w:t xml:space="preserve"> </w:t>
      </w:r>
      <w:r w:rsidR="00450CB8">
        <w:rPr>
          <w:sz w:val="24"/>
          <w:szCs w:val="24"/>
        </w:rPr>
        <w:t xml:space="preserve">плюмы </w:t>
      </w:r>
      <w:r w:rsidR="00450CB8" w:rsidRPr="00450CB8">
        <w:rPr>
          <w:sz w:val="24"/>
          <w:szCs w:val="24"/>
        </w:rPr>
        <w:t xml:space="preserve">показало высокую связь in-situ </w:t>
      </w:r>
      <w:r w:rsidR="00450CB8">
        <w:rPr>
          <w:sz w:val="24"/>
          <w:szCs w:val="24"/>
        </w:rPr>
        <w:t>и спутниковых данных</w:t>
      </w:r>
      <w:r w:rsidR="00450CB8" w:rsidRPr="00450CB8">
        <w:rPr>
          <w:sz w:val="24"/>
          <w:szCs w:val="24"/>
        </w:rPr>
        <w:t xml:space="preserve"> (R</w:t>
      </w:r>
      <w:r w:rsidR="00450CB8" w:rsidRPr="00450CB8">
        <w:rPr>
          <w:sz w:val="24"/>
          <w:szCs w:val="24"/>
          <w:vertAlign w:val="superscript"/>
        </w:rPr>
        <w:t>2</w:t>
      </w:r>
      <w:r w:rsidR="00450CB8" w:rsidRPr="00450CB8">
        <w:rPr>
          <w:sz w:val="24"/>
          <w:szCs w:val="24"/>
        </w:rPr>
        <w:t xml:space="preserve"> = 0.98)</w:t>
      </w:r>
      <w:r w:rsidR="00450CB8">
        <w:rPr>
          <w:sz w:val="24"/>
          <w:szCs w:val="24"/>
        </w:rPr>
        <w:t>. Получено, что а</w:t>
      </w:r>
      <w:r w:rsidR="00450CB8" w:rsidRPr="00450CB8">
        <w:rPr>
          <w:sz w:val="24"/>
          <w:szCs w:val="24"/>
        </w:rPr>
        <w:t>лгоритм C2RCC оптимален при низких концентрациях взвешенного вещества (10–50 г/м³)</w:t>
      </w:r>
      <w:r w:rsidR="00450CB8">
        <w:rPr>
          <w:sz w:val="24"/>
          <w:szCs w:val="24"/>
        </w:rPr>
        <w:t>. А для восстановления мутности морской воды: а</w:t>
      </w:r>
      <w:r w:rsidR="00450CB8" w:rsidRPr="00450CB8">
        <w:rPr>
          <w:sz w:val="24"/>
          <w:szCs w:val="24"/>
        </w:rPr>
        <w:t>лгоритм Nechad эффектив</w:t>
      </w:r>
      <w:r w:rsidR="00450CB8">
        <w:rPr>
          <w:sz w:val="24"/>
          <w:szCs w:val="24"/>
        </w:rPr>
        <w:t>ен</w:t>
      </w:r>
      <w:r w:rsidR="00450CB8" w:rsidRPr="00450CB8">
        <w:rPr>
          <w:sz w:val="24"/>
          <w:szCs w:val="24"/>
        </w:rPr>
        <w:t xml:space="preserve"> для низк</w:t>
      </w:r>
      <w:r w:rsidR="00450CB8">
        <w:rPr>
          <w:sz w:val="24"/>
          <w:szCs w:val="24"/>
        </w:rPr>
        <w:t>их значений</w:t>
      </w:r>
      <w:r w:rsidR="00450CB8" w:rsidRPr="00450CB8">
        <w:rPr>
          <w:sz w:val="24"/>
          <w:szCs w:val="24"/>
        </w:rPr>
        <w:t xml:space="preserve"> мутности, а Dogliotti — в периоды паводков (&gt;100 NTU)</w:t>
      </w:r>
      <w:r w:rsidR="00450CB8">
        <w:rPr>
          <w:sz w:val="24"/>
          <w:szCs w:val="24"/>
        </w:rPr>
        <w:t>. Доказана возможность использования стандартных спутниковых алгоритмов для восстановления поля мутности в рамках полученных границах их применимости.</w:t>
      </w:r>
    </w:p>
    <w:p w14:paraId="3018E575" w14:textId="5FEF77E5" w:rsidR="00450CB8" w:rsidRPr="00E52FD3" w:rsidRDefault="00450CB8" w:rsidP="00E52FD3">
      <w:pPr>
        <w:jc w:val="both"/>
        <w:rPr>
          <w:sz w:val="24"/>
          <w:szCs w:val="24"/>
        </w:rPr>
      </w:pPr>
      <w:r w:rsidRPr="00450CB8">
        <w:rPr>
          <w:sz w:val="24"/>
          <w:szCs w:val="24"/>
        </w:rPr>
        <w:t>Исследование выполнено за счёт гранта Российского научного фонда № 24-17-00182 «Развитие методов дистанционной диагностики распространения речных вод в прибрежной зоне морей» (https://rscf.ru/project/24-17-00182/) в Институте космических исследований РАН.</w:t>
      </w:r>
    </w:p>
    <w:sectPr w:rsidR="00450CB8" w:rsidRPr="00E5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87"/>
    <w:rsid w:val="00450CB8"/>
    <w:rsid w:val="005D23F2"/>
    <w:rsid w:val="00690862"/>
    <w:rsid w:val="006F41FB"/>
    <w:rsid w:val="0080431F"/>
    <w:rsid w:val="00846841"/>
    <w:rsid w:val="00B84148"/>
    <w:rsid w:val="00CB4687"/>
    <w:rsid w:val="00E5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0980"/>
  <w15:chartTrackingRefBased/>
  <w15:docId w15:val="{814761A6-FDEA-4BBD-B75C-916EA963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3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Nazirova Ksenia</dc:creator>
  <cp:keywords/>
  <dc:description/>
  <cp:lastModifiedBy>Nazirova Ksenia</cp:lastModifiedBy>
  <cp:revision>2</cp:revision>
  <dcterms:created xsi:type="dcterms:W3CDTF">2026-06-18T09:48:00Z</dcterms:created>
  <dcterms:modified xsi:type="dcterms:W3CDTF">2026-06-18T10:41:00Z</dcterms:modified>
</cp:coreProperties>
</file>